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标段号：一</w:t>
      </w:r>
      <w:r>
        <w:rPr>
          <w:rFonts w:hint="eastAsia" w:ascii="宋体" w:hAnsi="宋体" w:eastAsia="宋体" w:cs="宋体"/>
          <w:b/>
          <w:bCs/>
          <w:sz w:val="24"/>
          <w:szCs w:val="24"/>
          <w:highlight w:val="none"/>
          <w:u w:val="single"/>
          <w:lang w:val="en-US" w:eastAsia="zh-CN"/>
        </w:rPr>
        <w:t>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北斗定位与授时设备</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5234D543">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w:t>
      </w:r>
      <w:r>
        <w:rPr>
          <w:rFonts w:hint="eastAsia" w:ascii="宋体" w:hAnsi="宋体" w:eastAsia="宋体" w:cs="宋体"/>
          <w:sz w:val="24"/>
          <w:szCs w:val="24"/>
          <w:highlight w:val="none"/>
          <w:lang w:val="en-US" w:eastAsia="zh-CN"/>
        </w:rPr>
        <w:t>不低于</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北斗定位与授时设备</w:t>
      </w:r>
      <w:r>
        <w:rPr>
          <w:rFonts w:hint="eastAsia" w:ascii="宋体" w:hAnsi="宋体" w:eastAsia="宋体" w:cs="宋体"/>
          <w:sz w:val="24"/>
          <w:szCs w:val="24"/>
          <w:highlight w:val="none"/>
          <w:lang w:val="en-US" w:eastAsia="zh-CN"/>
        </w:rPr>
        <w:t>供货业绩</w:t>
      </w:r>
      <w:r>
        <w:rPr>
          <w:rFonts w:hint="eastAsia" w:ascii="宋体" w:hAnsi="宋体" w:eastAsia="宋体" w:cs="宋体"/>
          <w:sz w:val="24"/>
          <w:szCs w:val="24"/>
          <w:highlight w:val="none"/>
          <w:lang w:val="en-US" w:eastAsia="zh-CN"/>
        </w:rPr>
        <w:t>（须附合同协议书、发票等证明材料）。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一</w:t>
      </w:r>
      <w:r>
        <w:rPr>
          <w:rFonts w:hint="eastAsia" w:ascii="宋体" w:hAnsi="宋体" w:eastAsia="宋体" w:cs="宋体"/>
          <w:b/>
          <w:sz w:val="24"/>
          <w:szCs w:val="24"/>
          <w:highlight w:val="none"/>
          <w:lang w:val="en-US" w:eastAsia="zh-CN"/>
        </w:rPr>
        <w:t>标段</w:t>
      </w:r>
      <w:r>
        <w:rPr>
          <w:rFonts w:hint="eastAsia" w:ascii="宋体" w:hAnsi="宋体" w:eastAsia="宋体" w:cs="宋体"/>
          <w:b/>
          <w:sz w:val="24"/>
          <w:szCs w:val="24"/>
          <w:highlight w:val="none"/>
          <w:u w:val="none"/>
          <w:lang w:val="en-US" w:eastAsia="zh-CN"/>
        </w:rPr>
        <w:t xml:space="preserve"> </w:t>
      </w:r>
      <w:r>
        <w:rPr>
          <w:rFonts w:hint="eastAsia" w:ascii="宋体" w:hAnsi="宋体" w:eastAsia="宋体" w:cs="宋体"/>
          <w:b/>
          <w:bCs/>
          <w:sz w:val="24"/>
          <w:szCs w:val="24"/>
          <w:highlight w:val="none"/>
          <w:u w:val="single"/>
          <w:lang w:val="en-US" w:eastAsia="zh-CN"/>
        </w:rPr>
        <w:t>北斗定位与授时设备</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bookmarkStart w:id="27" w:name="_GoBack" w:colFirst="0" w:colLast="7"/>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bookmarkEnd w:id="27"/>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910-1-26-4</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视频上云专用北斗授时装置</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接收载波频率：1561.098MHz（B1信号）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接收灵敏度：捕获&lt;-138dBm，跟踪&lt;-153dBm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同时跟踪：装置冷起动时，不少于4颗卫星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装置热起动时，不少于1颗卫星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捕获时间：装置热起动时&lt;2min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装置冷起动时&lt;5min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定时准确度：≦100ns（1pps相对于UTC时间)</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5,100.00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5,100.00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F423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46E9F99">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930-5-52</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21DB058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北斗授时设备</w:t>
            </w:r>
          </w:p>
        </w:tc>
        <w:tc>
          <w:tcPr>
            <w:tcW w:w="5370" w:type="dxa"/>
            <w:tcBorders>
              <w:top w:val="single" w:color="000000" w:sz="4" w:space="0"/>
              <w:left w:val="single" w:color="000000" w:sz="4" w:space="0"/>
              <w:right w:val="single" w:color="000000" w:sz="4" w:space="0"/>
            </w:tcBorders>
            <w:noWrap w:val="0"/>
            <w:vAlign w:val="center"/>
          </w:tcPr>
          <w:p w14:paraId="767B3AEE">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北斗授时设备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（1）北斗接收器技术要求：—接收载波频率：1561.098MHz（B1信号）—接收灵敏度：捕获&lt;-138dBm，跟踪&lt;-153dBm—同时跟踪：装置冷起动时，不少于4颗卫星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—装置热起动时，不少于1颗卫星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—捕获时间：装置热起动时&lt;2min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—装置冷起动时&lt;5min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定时准确度：≦100ns(1pps相对于UTC时间)（2）设备技术参数—支持BD2-B1、GPS-L1、NTP时源输入，冗余备用，自动切换。—输出1PPS脉冲信号：（TTL电平）准时沿：上升沿，上升时间≤60ns；上升沿的时间准确度≤1μs；脉冲宽度：20ms~200ms；—支持标准的NTP、SNTP服务端及客户端；—PPS授时精度：≤1us；—守时精度：≤100ms（卫星失锁24小时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NTP授时精度：1-5ms；—工作温度：-40℃~﹢85℃"—冗余双电源AC:85V~264V/DC:85V~300V/DC:6V~24V支持交直流通用电源（3）时钟组网—支持控制中心时钟服务器与末端时钟通过NTP/SNTP组网.—支持网络NTP与北斗冗余备用方式组网，自动切换。（4）时钟管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—提供时钟监测主机及后台管理软件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—支持时钟在线监测管理功能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—实时自动巡检，故障定位并报警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—可支持时钟在线监测主机管理，故障及时上报—内部频标驯服功能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—时间信号采集和测量功能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—SOE触发和采集功能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—时间信号分析及预警功能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—实时显示监测数据和监测状态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（5）电磁兼容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静电放电抗扰度：接触放电±8kV、空气放电±15kV4级—电快速瞬变脉冲群抗扰度：电源线±4kV、数据线±2kV4级—射频电磁场辐射抗扰度：10V/m3级—射频场感应的传导骚扰抗扰度：3V（10kHz～150kHz）、10V（150kHz～80MHz）3级—浪涌(冲击）抗扰度：电源线:线/地±4kV、线/线±2kV；数据线:线/地±2kV4级—阻尼振荡磁场抗扰度：100A/m5级—脉冲磁场抗扰度：1000A/m（峰值）5级—阻尼振荡波抗扰度：共模2.5kV、差模1kV3级—工频磁场抗扰度：100A/m连续、1000A/m1s到3s5级—直流电压突降和中断抗扰度：100ms，100%—介质强度电源和告警：2kV；以太网电接口对地0.5kV—冲击电压电源和告警：5kV；以太网接口对地1kV</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4912EE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04FBFBC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868242">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5,100.00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15C0EA58">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15,300.00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3F1F12F">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noWrap w:val="0"/>
            <w:vAlign w:val="center"/>
          </w:tcPr>
          <w:p w14:paraId="4C8EA362">
            <w:pPr>
              <w:keepNext w:val="0"/>
              <w:keepLines w:val="0"/>
              <w:widowControl/>
              <w:suppressLineNumbers w:val="0"/>
              <w:jc w:val="right"/>
              <w:textAlignment w:val="center"/>
              <w:rPr>
                <w:highlight w:val="none"/>
              </w:rPr>
            </w:pPr>
            <w:r>
              <w:rPr>
                <w:rFonts w:hint="eastAsia" w:ascii="宋体" w:hAnsi="宋体" w:eastAsia="宋体" w:cs="宋体"/>
                <w:b/>
                <w:bCs/>
                <w:i w:val="0"/>
                <w:iCs w:val="0"/>
                <w:color w:val="000000"/>
                <w:kern w:val="0"/>
                <w:sz w:val="20"/>
                <w:szCs w:val="20"/>
                <w:highlight w:val="none"/>
                <w:u w:val="none"/>
                <w:lang w:val="en-US" w:eastAsia="zh-CN" w:bidi="ar"/>
              </w:rPr>
              <w:t xml:space="preserve">20,400.00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4821A6B3">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标段号：一标段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标段名称：北斗定位与授时设备</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46EA9990">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1898"/>
      <w:bookmarkStart w:id="1" w:name="_Toc32036"/>
      <w:bookmarkStart w:id="2" w:name="_Toc27757"/>
      <w:bookmarkStart w:id="3" w:name="_Toc32420"/>
      <w:bookmarkStart w:id="4" w:name="_Toc3519"/>
      <w:bookmarkStart w:id="5" w:name="_Toc26984"/>
      <w:bookmarkStart w:id="6" w:name="_Toc32017"/>
      <w:bookmarkStart w:id="7" w:name="_Toc28816"/>
      <w:bookmarkStart w:id="8" w:name="_Toc12065"/>
      <w:bookmarkStart w:id="9" w:name="_Toc15367"/>
      <w:bookmarkStart w:id="10" w:name="_Toc22210"/>
      <w:bookmarkStart w:id="11" w:name="_Toc12382"/>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北斗定位与授时设备</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910-1-26-4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视频上云专用北斗授时装置</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5,100.00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5,100.00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930-5-52</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北斗授时设备</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5,100.00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15,300.00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w:t>
            </w:r>
            <w:r>
              <w:rPr>
                <w:rFonts w:hint="eastAsia" w:ascii="宋体" w:hAnsi="宋体" w:eastAsia="宋体" w:cs="宋体"/>
                <w:sz w:val="21"/>
                <w:szCs w:val="21"/>
                <w:highlight w:val="none"/>
                <w:lang w:val="en-US" w:eastAsia="zh-CN"/>
              </w:rPr>
              <w:t>上限控制总价为20,400.00</w:t>
            </w:r>
            <w:r>
              <w:rPr>
                <w:rFonts w:hint="eastAsia" w:ascii="宋体" w:hAnsi="宋体" w:eastAsia="宋体" w:cs="宋体"/>
                <w:sz w:val="21"/>
                <w:szCs w:val="21"/>
                <w:highlight w:val="none"/>
                <w:lang w:val="en-US" w:eastAsia="zh-CN"/>
              </w:rPr>
              <w:t>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1DE73105">
            <w:pPr>
              <w:pStyle w:val="2"/>
              <w:ind w:firstLine="420"/>
              <w:rPr>
                <w:rFonts w:hint="default"/>
                <w:highlight w:val="none"/>
                <w:lang w:val="en-US"/>
              </w:rPr>
            </w:pPr>
            <w:r>
              <w:rPr>
                <w:rFonts w:hint="eastAsia" w:ascii="宋体" w:hAnsi="宋体" w:eastAsia="宋体" w:cs="宋体"/>
                <w:kern w:val="2"/>
                <w:sz w:val="21"/>
                <w:szCs w:val="21"/>
                <w:highlight w:val="none"/>
                <w:lang w:val="en-US" w:eastAsia="zh-CN" w:bidi="ar-SA"/>
              </w:rPr>
              <w:t>11.本次问价为市场问价行为，不作为采购及合同签订的依据。</w:t>
            </w:r>
          </w:p>
        </w:tc>
      </w:tr>
    </w:tbl>
    <w:p w14:paraId="5C5B5850">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12760"/>
      <w:bookmarkStart w:id="16" w:name="_Toc29385"/>
      <w:bookmarkStart w:id="17" w:name="_Toc27793"/>
      <w:bookmarkStart w:id="18" w:name="_Toc21774"/>
      <w:bookmarkStart w:id="19" w:name="_Toc11136"/>
      <w:bookmarkStart w:id="20" w:name="_Toc3073"/>
      <w:bookmarkStart w:id="21" w:name="_Toc4320"/>
      <w:bookmarkStart w:id="22" w:name="_Toc14004"/>
      <w:bookmarkStart w:id="23" w:name="_Toc6803"/>
      <w:bookmarkStart w:id="24" w:name="_Toc8988"/>
      <w:bookmarkStart w:id="25" w:name="_Toc26580"/>
      <w:bookmarkStart w:id="26" w:name="_Toc31390"/>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Layout w:type="fixed"/>
        <w:tblCellMar>
          <w:top w:w="0" w:type="dxa"/>
          <w:left w:w="108" w:type="dxa"/>
          <w:bottom w:w="0" w:type="dxa"/>
          <w:right w:w="108" w:type="dxa"/>
        </w:tblCellMar>
      </w:tblPr>
      <w:tblGrid>
        <w:gridCol w:w="695"/>
        <w:gridCol w:w="854"/>
        <w:gridCol w:w="3660"/>
        <w:gridCol w:w="3480"/>
        <w:gridCol w:w="812"/>
      </w:tblGrid>
      <w:tr w14:paraId="49307811">
        <w:tblPrEx>
          <w:tblCellMar>
            <w:top w:w="0" w:type="dxa"/>
            <w:left w:w="108" w:type="dxa"/>
            <w:bottom w:w="0" w:type="dxa"/>
            <w:right w:w="108" w:type="dxa"/>
          </w:tblCellMar>
        </w:tblPrEx>
        <w:trPr>
          <w:trHeight w:val="442" w:hRule="atLeast"/>
          <w:jc w:val="center"/>
        </w:trPr>
        <w:tc>
          <w:tcPr>
            <w:tcW w:w="695" w:type="dxa"/>
            <w:vMerge w:val="restart"/>
            <w:tcBorders>
              <w:top w:val="single" w:color="auto" w:sz="8" w:space="0"/>
              <w:left w:val="single" w:color="auto" w:sz="8" w:space="0"/>
              <w:bottom w:val="single" w:color="000000" w:sz="8" w:space="0"/>
              <w:right w:val="single" w:color="auto" w:sz="8" w:space="0"/>
            </w:tcBorders>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tcBorders>
              <w:top w:val="single" w:color="auto" w:sz="8" w:space="0"/>
              <w:left w:val="nil"/>
              <w:bottom w:val="single" w:color="auto" w:sz="8" w:space="0"/>
              <w:right w:val="single" w:color="000000" w:sz="8" w:space="0"/>
            </w:tcBorders>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tcBorders>
              <w:top w:val="single" w:color="auto" w:sz="8" w:space="0"/>
              <w:left w:val="nil"/>
              <w:bottom w:val="single" w:color="auto" w:sz="8" w:space="0"/>
              <w:right w:val="single" w:color="000000" w:sz="8" w:space="0"/>
            </w:tcBorders>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tcBorders>
              <w:top w:val="single" w:color="auto" w:sz="8" w:space="0"/>
              <w:left w:val="single" w:color="auto" w:sz="8" w:space="0"/>
              <w:bottom w:val="single" w:color="000000" w:sz="8" w:space="0"/>
              <w:right w:val="single" w:color="auto" w:sz="8" w:space="0"/>
            </w:tcBorders>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CellMar>
            <w:top w:w="0" w:type="dxa"/>
            <w:left w:w="108" w:type="dxa"/>
            <w:bottom w:w="0" w:type="dxa"/>
            <w:right w:w="108" w:type="dxa"/>
          </w:tblCellMar>
        </w:tblPrEx>
        <w:trPr>
          <w:trHeight w:val="661" w:hRule="atLeast"/>
          <w:jc w:val="center"/>
        </w:trPr>
        <w:tc>
          <w:tcPr>
            <w:tcW w:w="695" w:type="dxa"/>
            <w:vMerge w:val="continue"/>
            <w:tcBorders>
              <w:top w:val="single" w:color="auto" w:sz="8" w:space="0"/>
              <w:left w:val="single" w:color="auto" w:sz="8" w:space="0"/>
              <w:bottom w:val="single" w:color="auto" w:sz="4" w:space="0"/>
              <w:right w:val="single" w:color="auto" w:sz="8" w:space="0"/>
            </w:tcBorders>
            <w:vAlign w:val="center"/>
          </w:tcPr>
          <w:p w14:paraId="760B95F8">
            <w:pPr>
              <w:widowControl/>
              <w:jc w:val="left"/>
              <w:rPr>
                <w:rFonts w:ascii="宋体" w:hAnsi="宋体" w:cs="宋体"/>
                <w:b/>
                <w:bCs/>
                <w:color w:val="auto"/>
                <w:kern w:val="0"/>
                <w:sz w:val="21"/>
                <w:szCs w:val="21"/>
                <w:highlight w:val="none"/>
              </w:rPr>
            </w:pPr>
          </w:p>
        </w:tc>
        <w:tc>
          <w:tcPr>
            <w:tcW w:w="854" w:type="dxa"/>
            <w:tcBorders>
              <w:top w:val="nil"/>
              <w:left w:val="nil"/>
              <w:bottom w:val="single" w:color="auto" w:sz="4" w:space="0"/>
              <w:right w:val="single" w:color="auto" w:sz="8" w:space="0"/>
            </w:tcBorders>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tcBorders>
              <w:top w:val="nil"/>
              <w:left w:val="nil"/>
              <w:bottom w:val="single" w:color="auto" w:sz="4" w:space="0"/>
              <w:right w:val="single" w:color="000000" w:sz="8" w:space="0"/>
            </w:tcBorders>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tcBorders>
              <w:top w:val="nil"/>
              <w:left w:val="nil"/>
              <w:bottom w:val="single" w:color="auto" w:sz="4" w:space="0"/>
              <w:right w:val="single" w:color="000000" w:sz="8" w:space="0"/>
            </w:tcBorders>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tcBorders>
              <w:top w:val="single" w:color="auto" w:sz="8" w:space="0"/>
              <w:left w:val="single" w:color="auto" w:sz="8" w:space="0"/>
              <w:bottom w:val="single" w:color="auto" w:sz="4" w:space="0"/>
              <w:right w:val="single" w:color="auto" w:sz="8" w:space="0"/>
            </w:tcBorders>
            <w:vAlign w:val="center"/>
          </w:tcPr>
          <w:p w14:paraId="0C48EFDA">
            <w:pPr>
              <w:widowControl/>
              <w:jc w:val="left"/>
              <w:rPr>
                <w:rFonts w:ascii="宋体" w:hAnsi="宋体" w:cs="宋体"/>
                <w:color w:val="auto"/>
                <w:kern w:val="0"/>
                <w:sz w:val="21"/>
                <w:szCs w:val="21"/>
                <w:highlight w:val="none"/>
              </w:rPr>
            </w:pPr>
          </w:p>
        </w:tc>
      </w:tr>
      <w:tr w14:paraId="75506E98">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910-1-26-4</w:t>
            </w:r>
          </w:p>
        </w:tc>
        <w:tc>
          <w:tcPr>
            <w:tcW w:w="854" w:type="dxa"/>
            <w:tcBorders>
              <w:top w:val="single" w:color="auto" w:sz="4" w:space="0"/>
              <w:left w:val="single" w:color="auto" w:sz="4" w:space="0"/>
              <w:bottom w:val="single" w:color="auto" w:sz="4" w:space="0"/>
              <w:right w:val="single" w:color="auto" w:sz="4" w:space="0"/>
            </w:tcBorders>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视频上云专用北斗授时装置</w:t>
            </w:r>
          </w:p>
        </w:tc>
        <w:tc>
          <w:tcPr>
            <w:tcW w:w="3660" w:type="dxa"/>
            <w:tcBorders>
              <w:top w:val="single" w:color="auto" w:sz="4" w:space="0"/>
              <w:left w:val="single" w:color="auto" w:sz="4" w:space="0"/>
              <w:bottom w:val="single" w:color="auto" w:sz="4" w:space="0"/>
              <w:right w:val="single" w:color="auto" w:sz="4" w:space="0"/>
            </w:tcBorders>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接收载波频率：1561.098MHz（B1信号）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接收灵敏度：捕获&lt;-138dBm，跟踪&lt;-153dBm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同时跟踪：装置冷起动时，不少于4颗卫星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装置热起动时，不少于1颗卫星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捕获时间：装置热起动时&lt;2min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装置冷起动时&lt;5min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定时准确度：≦100ns（1pps相对于UTC时间)</w:t>
            </w:r>
          </w:p>
        </w:tc>
        <w:tc>
          <w:tcPr>
            <w:tcW w:w="3480" w:type="dxa"/>
            <w:tcBorders>
              <w:top w:val="single" w:color="auto" w:sz="4" w:space="0"/>
              <w:left w:val="single" w:color="auto" w:sz="4" w:space="0"/>
              <w:bottom w:val="single" w:color="auto" w:sz="4" w:space="0"/>
              <w:right w:val="single" w:color="auto" w:sz="4" w:space="0"/>
            </w:tcBorders>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1589C7B4">
            <w:pPr>
              <w:widowControl/>
              <w:jc w:val="center"/>
              <w:rPr>
                <w:color w:val="auto"/>
                <w:kern w:val="0"/>
                <w:sz w:val="21"/>
                <w:szCs w:val="21"/>
                <w:highlight w:val="none"/>
              </w:rPr>
            </w:pPr>
          </w:p>
        </w:tc>
      </w:tr>
      <w:tr w14:paraId="481868AB">
        <w:tblPrEx>
          <w:tblCellMar>
            <w:top w:w="0" w:type="dxa"/>
            <w:left w:w="108" w:type="dxa"/>
            <w:bottom w:w="0" w:type="dxa"/>
            <w:right w:w="108" w:type="dxa"/>
          </w:tblCellMar>
        </w:tblPrEx>
        <w:trPr>
          <w:trHeight w:val="1534"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42190690">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930-5-52</w:t>
            </w:r>
          </w:p>
        </w:tc>
        <w:tc>
          <w:tcPr>
            <w:tcW w:w="854" w:type="dxa"/>
            <w:tcBorders>
              <w:top w:val="single" w:color="auto" w:sz="4" w:space="0"/>
              <w:left w:val="single" w:color="auto" w:sz="4" w:space="0"/>
              <w:bottom w:val="single" w:color="auto" w:sz="4" w:space="0"/>
              <w:right w:val="single" w:color="auto" w:sz="4" w:space="0"/>
            </w:tcBorders>
            <w:vAlign w:val="center"/>
          </w:tcPr>
          <w:p w14:paraId="46F54C96">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北斗授时设备</w:t>
            </w:r>
          </w:p>
        </w:tc>
        <w:tc>
          <w:tcPr>
            <w:tcW w:w="3660" w:type="dxa"/>
            <w:tcBorders>
              <w:top w:val="single" w:color="auto" w:sz="4" w:space="0"/>
              <w:left w:val="single" w:color="auto" w:sz="4" w:space="0"/>
              <w:bottom w:val="single" w:color="auto" w:sz="4" w:space="0"/>
              <w:right w:val="single" w:color="auto" w:sz="4" w:space="0"/>
            </w:tcBorders>
            <w:vAlign w:val="center"/>
          </w:tcPr>
          <w:p w14:paraId="47F38AEB">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北斗授时设备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（1）北斗接收器技术要求：—接收载波频率：1561.098MHz（B1信号）—接收灵敏度：捕获&lt;-138dBm，跟踪&lt;-153dBm—同时跟踪：装置冷起动时，不少于4颗卫星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—装置热起动时，不少于1颗卫星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—捕获时间：装置热起动时&lt;2min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—装置冷起动时&lt;5min</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定时准确度：≦100ns(1pps相对于UTC时间)（2）设备技术参数—支持BD2-B1、GPS-L1、NTP时源输入，冗余备用，自动切换。—输出1PPS脉冲信号：（TTL电平）准时沿：上升沿，上升时间≤60ns；上升沿的时间准确度≤1μs；脉冲宽度：20ms~200ms；—支持标准的NTP、SNTP服务端及客户端；—PPS授时精度：≤1us；—守时精度：≤100ms（卫星失锁24小时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NTP授时精度：1-5ms；—工作温度：-40℃~﹢85℃"—冗余双电源AC:85V~264V/DC:85V~300V/DC:6V~24V支持交直流通用电源（3）时钟组网—支持控制中心时钟服务器与末端时钟通过NTP/SNTP组网.—支持网络NTP与北斗冗余备用方式组网，自动切换。（4）时钟管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—提供时钟监测主机及后台管理软件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—支持时钟在线监测管理功能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—实时自动巡检，故障定位并报警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—可支持时钟在线监测主机管理，故障及时上报—内部频标驯服功能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—时间信号采集和测量功能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—SOE触发和采集功能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—时间信号分析及预警功能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—实时显示监测数据和监测状态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（5）电磁兼容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静电放电抗扰度：接触放电±8kV、空气放电±15kV4级—电快速瞬变脉冲群抗扰度：电源线±4kV、数据线±2kV4级—射频电磁场辐射抗扰度：10V/m3级—射频场感应的传导骚扰抗扰度：3V（10kHz～150kHz）、10V（150kHz～80MHz）3级—浪涌(冲击）抗扰度：电源线:线/地±4kV、线/线±2kV；数据线:线/地±2kV4级—阻尼振荡磁场抗扰度：100A/m5级—脉冲磁场抗扰度：1000A/m（峰值）5级—阻尼振荡波抗扰度：共模2.5kV、差模1kV3级—工频磁场抗扰度：100A/m连续、1000A/m1s到3s5级—直流电压突降和中断抗扰度：100ms，100%—介质强度电源和告警：2kV；以太网电接口对地0.5kV—冲击电压电源和告警：5kV；以太网接口对地1kV</w:t>
            </w:r>
          </w:p>
        </w:tc>
        <w:tc>
          <w:tcPr>
            <w:tcW w:w="3480" w:type="dxa"/>
            <w:tcBorders>
              <w:top w:val="single" w:color="auto" w:sz="4" w:space="0"/>
              <w:left w:val="single" w:color="auto" w:sz="4" w:space="0"/>
              <w:bottom w:val="single" w:color="auto" w:sz="4" w:space="0"/>
              <w:right w:val="single" w:color="auto" w:sz="4" w:space="0"/>
            </w:tcBorders>
            <w:vAlign w:val="top"/>
          </w:tcPr>
          <w:p w14:paraId="60E3F3B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tcBorders>
              <w:top w:val="single" w:color="auto" w:sz="4" w:space="0"/>
              <w:left w:val="single" w:color="auto" w:sz="4" w:space="0"/>
              <w:bottom w:val="single" w:color="auto" w:sz="4" w:space="0"/>
              <w:right w:val="single" w:color="auto" w:sz="4" w:space="0"/>
            </w:tcBorders>
            <w:vAlign w:val="center"/>
          </w:tcPr>
          <w:p w14:paraId="68835A9E">
            <w:pPr>
              <w:widowControl/>
              <w:jc w:val="center"/>
              <w:rPr>
                <w:color w:val="auto"/>
                <w:kern w:val="0"/>
                <w:sz w:val="21"/>
                <w:szCs w:val="21"/>
                <w:highlight w:val="none"/>
              </w:rPr>
            </w:pPr>
          </w:p>
        </w:tc>
      </w:tr>
    </w:tbl>
    <w:p w14:paraId="64D0897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0714B9"/>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485BA1"/>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3309</Words>
  <Characters>4096</Characters>
  <Lines>108</Lines>
  <Paragraphs>30</Paragraphs>
  <TotalTime>0</TotalTime>
  <ScaleCrop>false</ScaleCrop>
  <LinksUpToDate>false</LinksUpToDate>
  <CharactersWithSpaces>4215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2024-10-24T08:29:15Z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37505E7F513346EAA6DF8C29E3A8CA4F_13</vt:lpwstr>
  </property>
</Properties>
</file>